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9EC" w:rsidRPr="00A93643" w:rsidRDefault="00FD29EC" w:rsidP="00FD29EC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Выборы депутатов советов депутатов муниципальных образований</w:t>
      </w:r>
    </w:p>
    <w:p w:rsidR="00FD29EC" w:rsidRPr="00A93643" w:rsidRDefault="00FD29EC" w:rsidP="00FD29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Гатчинского муниципального района Ленинградской области</w:t>
      </w:r>
    </w:p>
    <w:p w:rsidR="00FD29EC" w:rsidRPr="00A93643" w:rsidRDefault="00FD29EC" w:rsidP="00FD29EC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3643">
        <w:rPr>
          <w:rFonts w:ascii="Times New Roman" w:eastAsia="Times New Roman" w:hAnsi="Times New Roman" w:cs="Times New Roman"/>
          <w:b/>
          <w:sz w:val="24"/>
          <w:szCs w:val="24"/>
        </w:rPr>
        <w:t>8 сентября 2019 года</w:t>
      </w:r>
    </w:p>
    <w:p w:rsidR="00FD29EC" w:rsidRPr="00A93643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FD29EC" w:rsidRPr="00A93643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FD29EC" w:rsidRPr="00A93643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избирательных комиссий муниципальных образований 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Сиверское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Таицкое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Большеколпанское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Веревское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Войсковицкое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Елизаветинское 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Кобринское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Новосветское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Пудомягское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Пудостьское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поселение, Рождественского сельского поселения, «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Сусанинское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поселение», </w:t>
      </w:r>
      <w:proofErr w:type="spellStart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Сяськелевское</w:t>
      </w:r>
      <w:proofErr w:type="spellEnd"/>
      <w:r w:rsidRPr="00A936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сельское поселение  Гатчинского муниципального района Ленинградской области </w:t>
      </w:r>
    </w:p>
    <w:p w:rsidR="00FD29EC" w:rsidRPr="00A93643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D29EC" w:rsidRPr="00A93643" w:rsidRDefault="00FD29EC" w:rsidP="00FD29E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A9364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FD29EC" w:rsidRPr="00A93643" w:rsidRDefault="005E606C" w:rsidP="00FD29E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</w:t>
      </w:r>
      <w:bookmarkStart w:id="0" w:name="_GoBack"/>
      <w:bookmarkEnd w:id="0"/>
      <w:r w:rsidR="00FD29EC"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25»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июня </w:t>
      </w:r>
      <w:r w:rsidR="00FD29EC"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2019</w:t>
      </w:r>
      <w:proofErr w:type="gramEnd"/>
      <w:r w:rsidR="00FD29EC" w:rsidRPr="00A9364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                                                                 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9/62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193"/>
      </w:tblGrid>
      <w:tr w:rsidR="00FD29EC" w:rsidRPr="00F819C0" w:rsidTr="00D42EA7">
        <w:trPr>
          <w:trHeight w:val="172"/>
        </w:trPr>
        <w:tc>
          <w:tcPr>
            <w:tcW w:w="8193" w:type="dxa"/>
          </w:tcPr>
          <w:p w:rsidR="00FD29EC" w:rsidRPr="00F819C0" w:rsidRDefault="00FD29EC" w:rsidP="00D42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размера дополнительной оплаты труда (вознаграждения)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председателю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председателя, секретарю, членам участковых избирательных комиссий  Гатчинского муниципального района Ленинградской области на </w:t>
            </w:r>
            <w:r w:rsidRPr="00F819C0">
              <w:rPr>
                <w:rFonts w:ascii="Times New Roman" w:hAnsi="Times New Roman"/>
                <w:sz w:val="24"/>
                <w:szCs w:val="24"/>
              </w:rPr>
              <w:t xml:space="preserve">период подготовки и проведения  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>досрочных выборов депутатов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совета депутатов муниципальных  образований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81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четвертого </w:t>
            </w:r>
            <w:r w:rsidRPr="00F819C0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созыва 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голосования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08.09.2019</w:t>
            </w:r>
            <w:r w:rsidRPr="00F81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D29EC" w:rsidRPr="00F819C0" w:rsidRDefault="00FD29EC" w:rsidP="00D42EA7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D29EC" w:rsidRPr="00F819C0" w:rsidRDefault="00FD29EC" w:rsidP="00D42EA7">
            <w:pPr>
              <w:spacing w:after="0" w:line="256" w:lineRule="auto"/>
              <w:jc w:val="both"/>
              <w:rPr>
                <w:rFonts w:ascii="Calibri" w:eastAsia="Calibri" w:hAnsi="Calibri" w:cs="Times New Roman"/>
                <w:sz w:val="16"/>
                <w:szCs w:val="16"/>
                <w:lang w:eastAsia="en-US"/>
              </w:rPr>
            </w:pPr>
          </w:p>
        </w:tc>
      </w:tr>
    </w:tbl>
    <w:p w:rsidR="00FD29EC" w:rsidRDefault="00FD29EC" w:rsidP="00FD29EC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В соответствии с пунктом 17 статьи 29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Pr="00F819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>и пунктом 1 части 2 статьи 43 областного закона от 15 марта 2012 года № 20-оз «О муниципальных выборах в  Ленинградской области», с</w:t>
      </w:r>
      <w:r w:rsidRPr="00A9364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«Порядком </w:t>
      </w:r>
      <w:r w:rsidRPr="0002301D">
        <w:rPr>
          <w:rFonts w:ascii="Times New Roman" w:hAnsi="Times New Roman" w:cs="Times New Roman"/>
          <w:bCs/>
          <w:sz w:val="24"/>
          <w:szCs w:val="24"/>
        </w:rPr>
        <w:t xml:space="preserve"> выплаты компенсации и дополнительной оплаты труда (вознаграждения) членам территориальной избирательной комиссии Гатчинского муниципального района (с полномочиями избирательных комиссий муниципальных образований Гатчинского муниципального района Ленинградской области) и участковых избирательных комиссий с правом решающего голоса, а также  выплат гражданам, привлекаемым к работе в этих комиссиях, в период подготовки и проведения выборов депутатов представительных органов  местного самоуправления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», утвержденного </w:t>
      </w: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Pr="0002301D">
        <w:rPr>
          <w:rFonts w:ascii="Times New Roman" w:hAnsi="Times New Roman" w:cs="Times New Roman"/>
          <w:sz w:val="24"/>
          <w:szCs w:val="24"/>
        </w:rPr>
        <w:t xml:space="preserve"> территориальной избирательной комиссии Гатчинского муниципального района от  17 июня 2019 года    № 8/46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2301D">
        <w:rPr>
          <w:rFonts w:ascii="Times New Roman" w:hAnsi="Times New Roman" w:cs="Times New Roman"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  территориальная  избирательная комиссия  Гатчинского муниципального района с полн</w:t>
      </w:r>
      <w:r>
        <w:rPr>
          <w:rFonts w:ascii="Times New Roman" w:eastAsia="Times New Roman" w:hAnsi="Times New Roman" w:cs="Times New Roman"/>
          <w:sz w:val="24"/>
          <w:szCs w:val="24"/>
        </w:rPr>
        <w:t>омочиями избирательных комиссий муниципальных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образовани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Гатчинского муниципального района </w:t>
      </w:r>
      <w:r w:rsidRPr="00F81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819C0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F819C0">
        <w:rPr>
          <w:rFonts w:ascii="Times New Roman" w:eastAsia="Times New Roman" w:hAnsi="Times New Roman" w:cs="Times New Roman"/>
          <w:b/>
          <w:sz w:val="24"/>
          <w:szCs w:val="24"/>
        </w:rPr>
        <w:t>РЕШИЛА:</w:t>
      </w:r>
    </w:p>
    <w:p w:rsidR="00FD29EC" w:rsidRDefault="00FD29EC" w:rsidP="00FD29EC">
      <w:pPr>
        <w:spacing w:after="0" w:line="240" w:lineRule="auto"/>
        <w:ind w:right="112"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6276" w:rsidRDefault="00016276" w:rsidP="0001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        1.  В соответствии с установленным согласно </w:t>
      </w:r>
      <w:r w:rsidR="00FD29EC">
        <w:rPr>
          <w:rFonts w:ascii="Times New Roman" w:hAnsi="Times New Roman" w:cs="Times New Roman"/>
          <w:spacing w:val="-4"/>
          <w:sz w:val="24"/>
          <w:szCs w:val="24"/>
        </w:rPr>
        <w:t xml:space="preserve">решения территориальной избирательной комиссии Гатчинского муниципального района от 17.06.2019 г. № 8/46  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размером оплаты труда </w:t>
      </w:r>
      <w:r w:rsidR="00FD29EC">
        <w:rPr>
          <w:rFonts w:ascii="Times New Roman" w:hAnsi="Times New Roman" w:cs="Times New Roman"/>
          <w:spacing w:val="-4"/>
          <w:sz w:val="24"/>
          <w:szCs w:val="24"/>
        </w:rPr>
        <w:t>(вознаграждения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) за один час работы председателя участковой избирательной </w:t>
      </w:r>
      <w:r w:rsidR="00FD29EC">
        <w:rPr>
          <w:rFonts w:ascii="Times New Roman" w:hAnsi="Times New Roman" w:cs="Times New Roman"/>
          <w:spacing w:val="-4"/>
          <w:sz w:val="24"/>
          <w:szCs w:val="24"/>
        </w:rPr>
        <w:t>комиссии до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1000 избирателей – </w:t>
      </w:r>
      <w:r w:rsidR="00FD29EC">
        <w:rPr>
          <w:rFonts w:ascii="Times New Roman" w:hAnsi="Times New Roman" w:cs="Times New Roman"/>
          <w:spacing w:val="-4"/>
          <w:sz w:val="24"/>
          <w:szCs w:val="24"/>
        </w:rPr>
        <w:t>80</w:t>
      </w:r>
      <w:r>
        <w:rPr>
          <w:rFonts w:ascii="Times New Roman" w:hAnsi="Times New Roman" w:cs="Times New Roman"/>
          <w:spacing w:val="-4"/>
          <w:sz w:val="24"/>
          <w:szCs w:val="24"/>
        </w:rPr>
        <w:t>, 00</w:t>
      </w:r>
      <w:r w:rsidR="00FD29EC">
        <w:rPr>
          <w:rFonts w:ascii="Times New Roman" w:hAnsi="Times New Roman" w:cs="Times New Roman"/>
          <w:spacing w:val="-4"/>
          <w:sz w:val="24"/>
          <w:szCs w:val="24"/>
        </w:rPr>
        <w:t xml:space="preserve"> (восемьдесят) рублей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, от 1001 до 2000 избирателей – </w:t>
      </w:r>
      <w:r w:rsidR="00FD29EC">
        <w:rPr>
          <w:rFonts w:ascii="Times New Roman" w:hAnsi="Times New Roman" w:cs="Times New Roman"/>
          <w:spacing w:val="-4"/>
          <w:sz w:val="24"/>
          <w:szCs w:val="24"/>
        </w:rPr>
        <w:t>100,00 (сто) рублей,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от 2001 избирателя – </w:t>
      </w:r>
      <w:r w:rsidR="00FD29EC">
        <w:rPr>
          <w:rFonts w:ascii="Times New Roman" w:hAnsi="Times New Roman" w:cs="Times New Roman"/>
          <w:spacing w:val="-4"/>
          <w:sz w:val="24"/>
          <w:szCs w:val="24"/>
        </w:rPr>
        <w:t>120,00 (сто двадцать) рублей, установить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размер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 оплаты труда </w:t>
      </w:r>
      <w:r w:rsidR="00FD29EC">
        <w:rPr>
          <w:rFonts w:ascii="Times New Roman" w:hAnsi="Times New Roman" w:cs="Times New Roman"/>
          <w:sz w:val="24"/>
          <w:szCs w:val="24"/>
        </w:rPr>
        <w:t>(вознаграждения):</w:t>
      </w:r>
    </w:p>
    <w:p w:rsidR="00016276" w:rsidRDefault="00016276" w:rsidP="0001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заместителю председателя, секретарю участковой избирательной комиссии   до 1000 избирателей</w:t>
      </w:r>
      <w:r w:rsidR="005E606C">
        <w:rPr>
          <w:rFonts w:ascii="Times New Roman" w:hAnsi="Times New Roman" w:cs="Times New Roman"/>
          <w:sz w:val="24"/>
          <w:szCs w:val="24"/>
        </w:rPr>
        <w:t xml:space="preserve"> </w:t>
      </w:r>
      <w:r w:rsidR="00FD29E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29EC">
        <w:rPr>
          <w:rFonts w:ascii="Times New Roman" w:hAnsi="Times New Roman" w:cs="Times New Roman"/>
          <w:sz w:val="24"/>
          <w:szCs w:val="24"/>
        </w:rPr>
        <w:t>72,00 (семьдесят два) рубля</w:t>
      </w:r>
      <w:r>
        <w:rPr>
          <w:rFonts w:ascii="Times New Roman" w:hAnsi="Times New Roman" w:cs="Times New Roman"/>
          <w:sz w:val="24"/>
          <w:szCs w:val="24"/>
        </w:rPr>
        <w:t>.  за один час работы,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 участковой </w:t>
      </w:r>
      <w:r>
        <w:rPr>
          <w:rFonts w:ascii="Times New Roman" w:hAnsi="Times New Roman" w:cs="Times New Roman"/>
          <w:sz w:val="24"/>
          <w:szCs w:val="24"/>
        </w:rPr>
        <w:lastRenderedPageBreak/>
        <w:t>избирательно</w:t>
      </w:r>
      <w:r w:rsidR="005E606C">
        <w:rPr>
          <w:rFonts w:ascii="Times New Roman" w:hAnsi="Times New Roman" w:cs="Times New Roman"/>
          <w:sz w:val="24"/>
          <w:szCs w:val="24"/>
        </w:rPr>
        <w:t xml:space="preserve">й комиссии до 1000 избирателей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FD29EC">
        <w:rPr>
          <w:rFonts w:ascii="Times New Roman" w:hAnsi="Times New Roman" w:cs="Times New Roman"/>
          <w:sz w:val="24"/>
          <w:szCs w:val="24"/>
        </w:rPr>
        <w:t>64,00 (шестьдесят четыре)</w:t>
      </w:r>
      <w:r>
        <w:rPr>
          <w:rFonts w:ascii="Times New Roman" w:hAnsi="Times New Roman" w:cs="Times New Roman"/>
          <w:sz w:val="24"/>
          <w:szCs w:val="24"/>
        </w:rPr>
        <w:t xml:space="preserve"> руб</w:t>
      </w:r>
      <w:r w:rsidR="00FD29EC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за один час работы.</w:t>
      </w:r>
    </w:p>
    <w:p w:rsidR="00016276" w:rsidRDefault="00016276" w:rsidP="0001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заместителю председателя, секретарю участковой избирательной комиссии   от 1001 до 2000 избирателей –</w:t>
      </w:r>
      <w:r w:rsidR="005E606C">
        <w:rPr>
          <w:rFonts w:ascii="Times New Roman" w:hAnsi="Times New Roman" w:cs="Times New Roman"/>
          <w:sz w:val="24"/>
          <w:szCs w:val="24"/>
        </w:rPr>
        <w:t xml:space="preserve"> </w:t>
      </w:r>
      <w:r w:rsidR="00FD29EC">
        <w:rPr>
          <w:rFonts w:ascii="Times New Roman" w:hAnsi="Times New Roman" w:cs="Times New Roman"/>
          <w:sz w:val="24"/>
          <w:szCs w:val="24"/>
        </w:rPr>
        <w:t xml:space="preserve">90,00 (девяносто) рублей </w:t>
      </w:r>
      <w:r>
        <w:rPr>
          <w:rFonts w:ascii="Times New Roman" w:hAnsi="Times New Roman" w:cs="Times New Roman"/>
          <w:sz w:val="24"/>
          <w:szCs w:val="24"/>
        </w:rPr>
        <w:t xml:space="preserve">  за один час работы,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 участковой избирательной комиссии от 1001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2000 </w:t>
      </w:r>
      <w:r w:rsidR="005E606C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5E606C">
        <w:rPr>
          <w:rFonts w:ascii="Times New Roman" w:hAnsi="Times New Roman" w:cs="Times New Roman"/>
          <w:sz w:val="24"/>
          <w:szCs w:val="24"/>
        </w:rPr>
        <w:t xml:space="preserve"> </w:t>
      </w:r>
      <w:r w:rsidR="00FD29EC">
        <w:rPr>
          <w:rFonts w:ascii="Times New Roman" w:hAnsi="Times New Roman" w:cs="Times New Roman"/>
          <w:sz w:val="24"/>
          <w:szCs w:val="24"/>
        </w:rPr>
        <w:t>80,00 (восемьдесят) рублей за</w:t>
      </w:r>
      <w:r>
        <w:rPr>
          <w:rFonts w:ascii="Times New Roman" w:hAnsi="Times New Roman" w:cs="Times New Roman"/>
          <w:sz w:val="24"/>
          <w:szCs w:val="24"/>
        </w:rPr>
        <w:t xml:space="preserve"> один час работы.</w:t>
      </w:r>
    </w:p>
    <w:p w:rsidR="00016276" w:rsidRDefault="00016276" w:rsidP="000162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заместителю председателя, секретарю участковой избирательной комиссии   от 2001   избирателей –</w:t>
      </w:r>
      <w:r w:rsidR="005E606C">
        <w:rPr>
          <w:rFonts w:ascii="Times New Roman" w:hAnsi="Times New Roman" w:cs="Times New Roman"/>
          <w:sz w:val="24"/>
          <w:szCs w:val="24"/>
        </w:rPr>
        <w:t xml:space="preserve"> </w:t>
      </w:r>
      <w:r w:rsidR="00FD29EC">
        <w:rPr>
          <w:rFonts w:ascii="Times New Roman" w:hAnsi="Times New Roman" w:cs="Times New Roman"/>
          <w:sz w:val="24"/>
          <w:szCs w:val="24"/>
        </w:rPr>
        <w:t xml:space="preserve">108,00 (сто восемь) рублей </w:t>
      </w:r>
      <w:r>
        <w:rPr>
          <w:rFonts w:ascii="Times New Roman" w:hAnsi="Times New Roman" w:cs="Times New Roman"/>
          <w:sz w:val="24"/>
          <w:szCs w:val="24"/>
        </w:rPr>
        <w:t xml:space="preserve">  за один час работы,</w:t>
      </w:r>
      <w:r w:rsidRPr="007B4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членам участковой избирательной комиссии от 2001 избирателей - </w:t>
      </w:r>
      <w:r w:rsidR="00FD29EC">
        <w:rPr>
          <w:rFonts w:ascii="Times New Roman" w:hAnsi="Times New Roman" w:cs="Times New Roman"/>
          <w:sz w:val="24"/>
          <w:szCs w:val="24"/>
        </w:rPr>
        <w:t>96,00 (девяносто шесть) рублей</w:t>
      </w:r>
      <w:r>
        <w:rPr>
          <w:rFonts w:ascii="Times New Roman" w:hAnsi="Times New Roman" w:cs="Times New Roman"/>
          <w:sz w:val="24"/>
          <w:szCs w:val="24"/>
        </w:rPr>
        <w:t xml:space="preserve"> за один час работы.</w:t>
      </w:r>
    </w:p>
    <w:p w:rsidR="00016276" w:rsidRDefault="00016276" w:rsidP="00016276">
      <w:pPr>
        <w:pStyle w:val="14-1"/>
        <w:tabs>
          <w:tab w:val="num" w:pos="1155"/>
        </w:tabs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2. Контроль за исполнением настоящего решения возложить на секретаря территориальной избирательной комиссии Гатчинского муниципального района Патрушеву Г.В.  </w:t>
      </w:r>
    </w:p>
    <w:p w:rsidR="00016276" w:rsidRDefault="00016276" w:rsidP="00016276">
      <w:pPr>
        <w:pStyle w:val="a3"/>
        <w:jc w:val="both"/>
        <w:rPr>
          <w:b w:val="0"/>
          <w:bCs w:val="0"/>
          <w:sz w:val="24"/>
        </w:rPr>
      </w:pPr>
    </w:p>
    <w:p w:rsidR="00016276" w:rsidRDefault="00016276" w:rsidP="00016276">
      <w:pPr>
        <w:pStyle w:val="a3"/>
        <w:jc w:val="both"/>
        <w:rPr>
          <w:b w:val="0"/>
          <w:bCs w:val="0"/>
          <w:sz w:val="24"/>
        </w:rPr>
      </w:pPr>
    </w:p>
    <w:p w:rsidR="00016276" w:rsidRDefault="00016276" w:rsidP="00016276">
      <w:pPr>
        <w:pStyle w:val="a3"/>
        <w:jc w:val="both"/>
        <w:rPr>
          <w:b w:val="0"/>
          <w:bCs w:val="0"/>
          <w:sz w:val="16"/>
          <w:szCs w:val="1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3"/>
        <w:gridCol w:w="4217"/>
      </w:tblGrid>
      <w:tr w:rsidR="00016276" w:rsidTr="005D7BFE">
        <w:trPr>
          <w:jc w:val="center"/>
        </w:trPr>
        <w:tc>
          <w:tcPr>
            <w:tcW w:w="5353" w:type="dxa"/>
            <w:hideMark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>
              <w:rPr>
                <w:sz w:val="24"/>
                <w:szCs w:val="24"/>
              </w:rPr>
              <w:br/>
              <w:t xml:space="preserve">Избирательной комиссии </w:t>
            </w:r>
            <w:r w:rsidR="00BF7385">
              <w:rPr>
                <w:sz w:val="24"/>
                <w:szCs w:val="24"/>
              </w:rPr>
              <w:t>с полномочиями (ИКМО)</w:t>
            </w:r>
          </w:p>
          <w:p w:rsidR="00016276" w:rsidRDefault="00016276" w:rsidP="005D7BFE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17" w:type="dxa"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И.Л.Смык</w:t>
            </w:r>
            <w:proofErr w:type="spellEnd"/>
          </w:p>
        </w:tc>
      </w:tr>
      <w:tr w:rsidR="00016276" w:rsidTr="005D7BFE">
        <w:trPr>
          <w:jc w:val="center"/>
        </w:trPr>
        <w:tc>
          <w:tcPr>
            <w:tcW w:w="5353" w:type="dxa"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217" w:type="dxa"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016276" w:rsidTr="005D7BFE">
        <w:trPr>
          <w:jc w:val="center"/>
        </w:trPr>
        <w:tc>
          <w:tcPr>
            <w:tcW w:w="5353" w:type="dxa"/>
            <w:hideMark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</w:t>
            </w:r>
            <w:r>
              <w:rPr>
                <w:sz w:val="24"/>
                <w:szCs w:val="24"/>
              </w:rPr>
              <w:br/>
              <w:t xml:space="preserve">Избирательной комиссии </w:t>
            </w:r>
            <w:r w:rsidR="00BF7385">
              <w:rPr>
                <w:sz w:val="24"/>
                <w:szCs w:val="24"/>
              </w:rPr>
              <w:t>с полномочиями (ИКМО)</w:t>
            </w:r>
          </w:p>
          <w:p w:rsidR="00016276" w:rsidRDefault="00016276" w:rsidP="005D7BFE">
            <w:pPr>
              <w:pStyle w:val="14-1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17" w:type="dxa"/>
          </w:tcPr>
          <w:p w:rsidR="00016276" w:rsidRDefault="00016276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:rsidR="00016276" w:rsidRDefault="00BF7385" w:rsidP="005D7BFE">
            <w:pPr>
              <w:pStyle w:val="14-1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А.В.Журавлева</w:t>
            </w:r>
            <w:proofErr w:type="spellEnd"/>
          </w:p>
          <w:p w:rsidR="00016276" w:rsidRDefault="00016276" w:rsidP="005D7BFE">
            <w:pPr>
              <w:pStyle w:val="14-1"/>
              <w:spacing w:line="240" w:lineRule="auto"/>
              <w:ind w:right="282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016276" w:rsidRDefault="00016276" w:rsidP="00BF7385"/>
    <w:sectPr w:rsidR="00016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99"/>
    <w:rsid w:val="00016276"/>
    <w:rsid w:val="0031351D"/>
    <w:rsid w:val="005E606C"/>
    <w:rsid w:val="006072DD"/>
    <w:rsid w:val="00764099"/>
    <w:rsid w:val="00BF7385"/>
    <w:rsid w:val="00FD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CB54"/>
  <w15:chartTrackingRefBased/>
  <w15:docId w15:val="{8473B7C7-892D-49F3-A8CB-4825E4882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27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01627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01627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4-1">
    <w:name w:val="Текст14-1"/>
    <w:aliases w:val="5"/>
    <w:basedOn w:val="a"/>
    <w:rsid w:val="0001627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Козлова Валентина Николаевна</cp:lastModifiedBy>
  <cp:revision>6</cp:revision>
  <dcterms:created xsi:type="dcterms:W3CDTF">2017-07-24T06:14:00Z</dcterms:created>
  <dcterms:modified xsi:type="dcterms:W3CDTF">2019-06-26T11:26:00Z</dcterms:modified>
</cp:coreProperties>
</file>