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82" w:rsidRPr="00F96582" w:rsidRDefault="00F96582" w:rsidP="00F96582">
      <w:pPr>
        <w:keepNext/>
        <w:keepLine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 депутатов советов депутатов муниципальных образований</w:t>
      </w:r>
    </w:p>
    <w:p w:rsidR="00F96582" w:rsidRPr="00F96582" w:rsidRDefault="00F96582" w:rsidP="00F9658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Гатчинского муниципального района Ленинградской области четвертого созыва </w:t>
      </w:r>
    </w:p>
    <w:p w:rsidR="00F96582" w:rsidRPr="00F96582" w:rsidRDefault="00F96582" w:rsidP="00F9658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сентября 2019 года</w:t>
      </w:r>
    </w:p>
    <w:p w:rsidR="00F96582" w:rsidRPr="00F96582" w:rsidRDefault="00F96582" w:rsidP="00F965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96582" w:rsidRPr="00F96582" w:rsidRDefault="00F96582" w:rsidP="00F965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F96582" w:rsidRPr="00F96582" w:rsidRDefault="00F96582" w:rsidP="00F965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Вырицкое</w:t>
      </w:r>
      <w:proofErr w:type="spellEnd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 , </w:t>
      </w:r>
      <w:proofErr w:type="spellStart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Дружногорское</w:t>
      </w:r>
      <w:proofErr w:type="spellEnd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Сиверское</w:t>
      </w:r>
      <w:proofErr w:type="spellEnd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Таицкое</w:t>
      </w:r>
      <w:proofErr w:type="spellEnd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Большеколпанское</w:t>
      </w:r>
      <w:proofErr w:type="spellEnd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 </w:t>
      </w:r>
      <w:proofErr w:type="spellStart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Веревское</w:t>
      </w:r>
      <w:proofErr w:type="spellEnd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Войсковицкое</w:t>
      </w:r>
      <w:proofErr w:type="spellEnd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Елизаветинское  сельское поселение, </w:t>
      </w:r>
      <w:proofErr w:type="spellStart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Кобринское</w:t>
      </w:r>
      <w:proofErr w:type="spellEnd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Новосветское</w:t>
      </w:r>
      <w:proofErr w:type="spellEnd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Пудомягское</w:t>
      </w:r>
      <w:proofErr w:type="spellEnd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Пудостьское</w:t>
      </w:r>
      <w:proofErr w:type="spellEnd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Рождественского сельского поселения, </w:t>
      </w:r>
      <w:proofErr w:type="spellStart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Сусанинское</w:t>
      </w:r>
      <w:proofErr w:type="spellEnd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>Сяськелевское</w:t>
      </w:r>
      <w:proofErr w:type="spellEnd"/>
      <w:r w:rsidRPr="00F96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  Гатчинского муниципального района Ленинградской области </w:t>
      </w:r>
    </w:p>
    <w:p w:rsidR="00F96582" w:rsidRPr="00F96582" w:rsidRDefault="00F96582" w:rsidP="00F96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582" w:rsidRPr="00F96582" w:rsidRDefault="00F96582" w:rsidP="00F9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965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F96582" w:rsidRPr="00F96582" w:rsidRDefault="00F96582" w:rsidP="00F965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96582">
        <w:rPr>
          <w:rFonts w:ascii="Times New Roman" w:eastAsia="Times New Roman" w:hAnsi="Times New Roman" w:cs="Times New Roman"/>
          <w:b/>
          <w:lang w:eastAsia="ru-RU"/>
        </w:rPr>
        <w:t xml:space="preserve">       07 сентября   2019 года                                                                                     № 39/654</w:t>
      </w:r>
    </w:p>
    <w:p w:rsidR="00F96582" w:rsidRPr="00F96582" w:rsidRDefault="00F96582" w:rsidP="00F96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6582" w:rsidRPr="00F96582" w:rsidRDefault="00F96582" w:rsidP="00F96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регистрации уполномоченного представителя политической партии КОММУНИСТИЧЕСКОЙ ПАРТИИ РОССИЙСКОЙ ФЕДЕРАЦИИ</w:t>
      </w:r>
    </w:p>
    <w:p w:rsidR="00F96582" w:rsidRPr="00F96582" w:rsidRDefault="00F96582" w:rsidP="00F96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6582" w:rsidRPr="00F96582" w:rsidRDefault="00F96582" w:rsidP="00F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582" w:rsidRPr="00F96582" w:rsidRDefault="00F96582" w:rsidP="00F96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территориальную избирательную комиссию Гатчинского муниципального района Ленинградской области для регистрации уполномоченного представителя </w:t>
      </w:r>
      <w:r w:rsidRPr="00F9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политической партии КОММУНИСТИЧЕСКОЙ ПАРТИИ РОССИЙСКОЙ ФЕДЕРАЦИИ</w:t>
      </w:r>
      <w:r w:rsidRPr="00F96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18 областного закона от 15 марта 2012 года № 20-оз «О муниципальных выборах в Ленинградской области», </w:t>
      </w:r>
      <w:r w:rsidRPr="00F96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территориальная </w:t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Гатчинского  муниципального района с полномочиями избирательных комиссий Гатчинского муниципального района  </w:t>
      </w:r>
      <w:r w:rsidRPr="00F96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F96582" w:rsidRPr="00F96582" w:rsidRDefault="00F96582" w:rsidP="00F96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582" w:rsidRPr="00F96582" w:rsidRDefault="00F96582" w:rsidP="00F965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Зарегистрировать уполномоченного представителя </w:t>
      </w:r>
      <w:r w:rsidRPr="00F96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политической партии КОММУНИСТИЧЕСКОЙ ПАРТИИ РОССИЙСКОЙ ФЕДЕРАЦИИ</w:t>
      </w:r>
      <w:r w:rsidRPr="00F96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Орехова Романа </w:t>
      </w:r>
      <w:proofErr w:type="spellStart"/>
      <w:r w:rsidRPr="00F96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Юлаевича</w:t>
      </w:r>
      <w:proofErr w:type="spellEnd"/>
      <w:r w:rsidRPr="00F96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6582" w:rsidRPr="00F96582" w:rsidRDefault="00F96582" w:rsidP="00F965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82" w:rsidRPr="00F96582" w:rsidRDefault="00F96582" w:rsidP="00F96582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965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зарегистрированному уполномоченному представителю Орехову Р.Ю. удостоверение установленного образца.</w:t>
      </w:r>
    </w:p>
    <w:p w:rsidR="00F96582" w:rsidRPr="00F96582" w:rsidRDefault="00F96582" w:rsidP="00F96582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82" w:rsidRPr="00F96582" w:rsidRDefault="00F96582" w:rsidP="00F96582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96582">
        <w:rPr>
          <w:rFonts w:ascii="Times New Roman" w:eastAsia="Calibri" w:hAnsi="Times New Roman" w:cs="Times New Roman"/>
        </w:rPr>
        <w:t>3. Разъяснить Орехову Р.Ю., что в соответствии с пунктами 1, 1</w:t>
      </w:r>
      <w:r w:rsidRPr="00F96582">
        <w:rPr>
          <w:rFonts w:ascii="Times New Roman" w:eastAsia="Calibri" w:hAnsi="Times New Roman" w:cs="Times New Roman"/>
          <w:vertAlign w:val="superscript"/>
        </w:rPr>
        <w:t xml:space="preserve">1 </w:t>
      </w:r>
      <w:r w:rsidRPr="00F96582">
        <w:rPr>
          <w:rFonts w:ascii="Times New Roman" w:eastAsia="Calibri" w:hAnsi="Times New Roman" w:cs="Times New Roman"/>
        </w:rPr>
        <w:t>и 1</w:t>
      </w:r>
      <w:r w:rsidRPr="00F96582">
        <w:rPr>
          <w:rFonts w:ascii="Times New Roman" w:eastAsia="Calibri" w:hAnsi="Times New Roman" w:cs="Times New Roman"/>
          <w:vertAlign w:val="superscript"/>
        </w:rPr>
        <w:t>2</w:t>
      </w:r>
      <w:r w:rsidRPr="00F96582">
        <w:rPr>
          <w:rFonts w:ascii="Times New Roman" w:eastAsia="Calibri" w:hAnsi="Times New Roman" w:cs="Times New Roman"/>
        </w:rPr>
        <w:t xml:space="preserve"> статьи 30 Федерального закона на всех заседаниях комиссии, а также при подсчете голосов избирателей и осуществлении участковой, территориальной комиссиями работы со списками избирателей, с бюллетенями, открепительными удостоверениями, протоколами об итогах голосования и со сводными таблицами вправе присутствовать </w:t>
      </w:r>
      <w:r w:rsidRPr="00F96582">
        <w:rPr>
          <w:rFonts w:ascii="Times New Roman" w:eastAsia="Calibri" w:hAnsi="Times New Roman" w:cs="Times New Roman"/>
          <w:b/>
        </w:rPr>
        <w:t>члены вышестоящих комиссий и работники их аппаратов, кандидат, зарегистрированный данной либо вышестоящей комиссией,</w:t>
      </w:r>
      <w:r w:rsidRPr="00F96582">
        <w:rPr>
          <w:rFonts w:ascii="Times New Roman" w:eastAsia="Calibri" w:hAnsi="Times New Roman" w:cs="Times New Roman"/>
        </w:rPr>
        <w:t xml:space="preserve"> </w:t>
      </w:r>
      <w:r w:rsidRPr="00F96582">
        <w:rPr>
          <w:rFonts w:ascii="Times New Roman" w:eastAsia="Calibri" w:hAnsi="Times New Roman" w:cs="Times New Roman"/>
          <w:b/>
        </w:rPr>
        <w:t>либо его уполномоченный представитель по финансовым вопросам или доверенное лицо</w:t>
      </w:r>
      <w:r w:rsidRPr="00F96582">
        <w:rPr>
          <w:rFonts w:ascii="Times New Roman" w:eastAsia="Calibri" w:hAnsi="Times New Roman" w:cs="Times New Roman"/>
        </w:rPr>
        <w:t xml:space="preserve">, </w:t>
      </w:r>
      <w:r w:rsidRPr="00F96582">
        <w:rPr>
          <w:rFonts w:ascii="Times New Roman" w:eastAsia="Calibri" w:hAnsi="Times New Roman" w:cs="Times New Roman"/>
          <w:b/>
        </w:rPr>
        <w:t>а также представители средств массовой информации.</w:t>
      </w:r>
      <w:r w:rsidRPr="00F96582">
        <w:rPr>
          <w:rFonts w:ascii="Times New Roman" w:eastAsia="Calibri" w:hAnsi="Times New Roman" w:cs="Times New Roman"/>
        </w:rPr>
        <w:t xml:space="preserve">  </w:t>
      </w:r>
      <w:bookmarkStart w:id="0" w:name="_GoBack"/>
      <w:bookmarkEnd w:id="0"/>
    </w:p>
    <w:p w:rsidR="00F96582" w:rsidRPr="00F96582" w:rsidRDefault="00F96582" w:rsidP="00F965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30 Федерального закона </w:t>
      </w:r>
      <w:r w:rsidRPr="00F9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момента начала работы участковой комиссии </w:t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голосования и до получения сообщения о принятии вышестоящей комиссией протокола об итогах голосования, а равно при повторном подсчете </w:t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голосов избирателей на избирательных участках </w:t>
      </w:r>
      <w:r w:rsidRPr="00F9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вправе присутствовать лица, указанные в пунктах 1 и 1</w:t>
      </w:r>
      <w:r w:rsidRPr="00F9658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2 </w:t>
      </w:r>
      <w:r w:rsidRPr="00F9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настоящей статьи, а также наблюдатели, иностранные наблюдатели.</w:t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582" w:rsidRPr="00F96582" w:rsidRDefault="00F96582" w:rsidP="00F965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указанные в пунктах 1, </w:t>
      </w:r>
      <w:proofErr w:type="gramStart"/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65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 </w:t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30 Федерального закона вправе получить </w:t>
      </w:r>
      <w:r w:rsidRPr="00F96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участковой избирательной комиссии</w:t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заверенную копию протокола об итогах голосования (п. 29 ст. 68 Федерального закона). Уполномоченный представитель избирательного объединения к перечню лиц, указанных в пунктах 1, 1</w:t>
      </w:r>
      <w:r w:rsidRPr="00F965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658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 </w:t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статьи 30 Федерального закона не относится.</w:t>
      </w:r>
    </w:p>
    <w:p w:rsidR="00F96582" w:rsidRPr="00F96582" w:rsidRDefault="00F96582" w:rsidP="00F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82" w:rsidRPr="00F96582" w:rsidRDefault="00F96582" w:rsidP="00F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территориальной</w:t>
      </w:r>
    </w:p>
    <w:p w:rsidR="00F96582" w:rsidRPr="00F96582" w:rsidRDefault="00F96582" w:rsidP="00F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F96582" w:rsidRPr="00F96582" w:rsidRDefault="00F96582" w:rsidP="00F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proofErr w:type="spellStart"/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И.Л.Смык</w:t>
      </w:r>
      <w:proofErr w:type="spellEnd"/>
    </w:p>
    <w:p w:rsidR="00F96582" w:rsidRPr="00F96582" w:rsidRDefault="00F96582" w:rsidP="00F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82" w:rsidRPr="00F96582" w:rsidRDefault="00F96582" w:rsidP="00F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территориальной</w:t>
      </w:r>
    </w:p>
    <w:p w:rsidR="00F96582" w:rsidRPr="00F96582" w:rsidRDefault="00F96582" w:rsidP="00F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F96582" w:rsidRPr="00F96582" w:rsidRDefault="00F96582" w:rsidP="00F9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 муниципального района</w:t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proofErr w:type="spellStart"/>
      <w:r w:rsidRPr="00F9658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А.В.Журавлева</w:t>
      </w:r>
      <w:proofErr w:type="spellEnd"/>
    </w:p>
    <w:p w:rsidR="00B6597D" w:rsidRDefault="00B6597D"/>
    <w:sectPr w:rsidR="00B6597D">
      <w:footerReference w:type="even" r:id="rId4"/>
      <w:footerReference w:type="default" r:id="rId5"/>
      <w:pgSz w:w="12240" w:h="15840"/>
      <w:pgMar w:top="719" w:right="850" w:bottom="71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9A" w:rsidRDefault="00F96582" w:rsidP="00CD71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A72E9A" w:rsidRDefault="00F965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E9A" w:rsidRDefault="00F96582" w:rsidP="00F95B67">
    <w:pPr>
      <w:pStyle w:val="a3"/>
      <w:framePr w:wrap="around" w:vAnchor="text" w:hAnchor="margin" w:xAlign="center" w:y="1"/>
      <w:rPr>
        <w:rStyle w:val="a5"/>
      </w:rPr>
    </w:pPr>
  </w:p>
  <w:p w:rsidR="00A72E9A" w:rsidRDefault="00F9658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11"/>
    <w:rsid w:val="00B6597D"/>
    <w:rsid w:val="00C35811"/>
    <w:rsid w:val="00F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1C04E-D4A3-4943-A8A4-8A5602F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65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96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2019-09-11T11:29:00Z</dcterms:created>
  <dcterms:modified xsi:type="dcterms:W3CDTF">2019-09-11T11:29:00Z</dcterms:modified>
</cp:coreProperties>
</file>