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EF1" w:rsidRPr="005C28FB" w:rsidRDefault="00971EF1" w:rsidP="00971EF1">
      <w:pPr>
        <w:keepNext/>
        <w:keepLine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971EF1" w:rsidRPr="005C28FB" w:rsidRDefault="00971EF1" w:rsidP="00971EF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971EF1" w:rsidRPr="005C28FB" w:rsidRDefault="00971EF1" w:rsidP="00971EF1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8FB">
        <w:rPr>
          <w:rFonts w:ascii="Times New Roman" w:hAnsi="Times New Roman" w:cs="Times New Roman"/>
          <w:b/>
          <w:sz w:val="24"/>
          <w:szCs w:val="24"/>
        </w:rPr>
        <w:t>8 сентября 2019 года</w:t>
      </w: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Территориальная избирательная комиссия</w:t>
      </w: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Вырицкое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 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Дружногорское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Сиверское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Таицкое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городское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Большеколпанское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Веревское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Войсковицкое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Елизаветинское 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Кобринское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Новосветское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Пудомягское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Пудостьское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поселение, Рождественского сельского поселения, «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Сусанинское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поселение», </w:t>
      </w:r>
      <w:proofErr w:type="spellStart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>Сяськелевское</w:t>
      </w:r>
      <w:proofErr w:type="spellEnd"/>
      <w:r w:rsidRPr="005C28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сельское поселение  Гатчинского муниципального района Ленинградской области </w:t>
      </w: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1EF1" w:rsidRPr="005C28FB" w:rsidRDefault="00971EF1" w:rsidP="00971E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28F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71EF1" w:rsidRPr="00214024" w:rsidRDefault="00971EF1" w:rsidP="00971EF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июля  2019</w:t>
      </w:r>
      <w:proofErr w:type="gramEnd"/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</w:t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F819C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№ 11/</w:t>
      </w:r>
      <w:r w:rsidR="002140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109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971EF1" w:rsidRPr="00F819C0" w:rsidTr="00EC124D">
        <w:trPr>
          <w:trHeight w:val="172"/>
        </w:trPr>
        <w:tc>
          <w:tcPr>
            <w:tcW w:w="8193" w:type="dxa"/>
          </w:tcPr>
          <w:p w:rsidR="00214024" w:rsidRPr="00212CD5" w:rsidRDefault="00971EF1" w:rsidP="00214024">
            <w:pPr>
              <w:spacing w:after="0"/>
              <w:ind w:firstLine="40"/>
              <w:rPr>
                <w:rFonts w:ascii="Times New Roman" w:hAnsi="Times New Roman"/>
                <w:sz w:val="24"/>
                <w:szCs w:val="24"/>
              </w:rPr>
            </w:pPr>
            <w:r w:rsidRPr="00212CD5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212CD5">
              <w:rPr>
                <w:rFonts w:ascii="Times New Roman" w:hAnsi="Times New Roman"/>
                <w:sz w:val="24"/>
                <w:szCs w:val="24"/>
              </w:rPr>
              <w:t xml:space="preserve">установлении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proofErr w:type="gramEnd"/>
            <w:r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71EF1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дополнительной оплаты труда членам избирательных 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правом решающего голоса </w:t>
            </w:r>
            <w:r w:rsidRPr="009146D9">
              <w:rPr>
                <w:szCs w:val="24"/>
              </w:rPr>
              <w:t xml:space="preserve"> </w:t>
            </w:r>
            <w:r w:rsidR="00214024" w:rsidRPr="00214024">
              <w:rPr>
                <w:szCs w:val="24"/>
              </w:rPr>
              <w:t xml:space="preserve"> </w:t>
            </w:r>
            <w:r w:rsidR="00214024">
              <w:rPr>
                <w:szCs w:val="24"/>
              </w:rPr>
              <w:t xml:space="preserve">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>о</w:t>
            </w:r>
            <w:r w:rsidR="00214024" w:rsidRPr="00212CD5">
              <w:rPr>
                <w:rFonts w:ascii="Times New Roman" w:hAnsi="Times New Roman"/>
                <w:sz w:val="24"/>
                <w:szCs w:val="24"/>
              </w:rPr>
              <w:t xml:space="preserve">б установлении </w:t>
            </w:r>
            <w:r w:rsidR="00214024">
              <w:rPr>
                <w:rFonts w:ascii="Times New Roman" w:hAnsi="Times New Roman"/>
                <w:sz w:val="24"/>
                <w:szCs w:val="24"/>
              </w:rPr>
              <w:t xml:space="preserve">оплаты работ  по гражданско-правовым договорам </w:t>
            </w:r>
          </w:p>
          <w:p w:rsidR="00971EF1" w:rsidRPr="00214024" w:rsidRDefault="00971EF1" w:rsidP="00971EF1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971EF1" w:rsidRDefault="00971EF1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214024" w:rsidRDefault="00214024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4024" w:rsidRDefault="00971EF1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и пунктом 1 части 2 статьи 43 областного закона от 15 марта 2012 года № 20-оз «О муниципальных выборах в  Ленинградской области»,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024" w:rsidRDefault="00214024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1EF1" w:rsidRDefault="00214024" w:rsidP="00971EF1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971EF1"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proofErr w:type="gramStart"/>
      <w:r w:rsidR="00971EF1" w:rsidRPr="00A93591">
        <w:rPr>
          <w:rFonts w:ascii="Times New Roman" w:eastAsia="Times New Roman" w:hAnsi="Times New Roman" w:cs="Times New Roman"/>
          <w:b/>
          <w:sz w:val="24"/>
          <w:szCs w:val="24"/>
        </w:rPr>
        <w:t>РЕШИЛА :</w:t>
      </w:r>
      <w:proofErr w:type="gramEnd"/>
    </w:p>
    <w:p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741E5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/>
          <w:sz w:val="24"/>
          <w:szCs w:val="24"/>
        </w:rPr>
        <w:t>1.</w:t>
      </w:r>
      <w:r w:rsidR="000055C2" w:rsidRPr="00212CD5">
        <w:rPr>
          <w:rFonts w:ascii="Times New Roman" w:hAnsi="Times New Roman"/>
          <w:sz w:val="24"/>
          <w:szCs w:val="24"/>
        </w:rPr>
        <w:t xml:space="preserve">Установить </w:t>
      </w:r>
      <w:r w:rsidR="000055C2">
        <w:rPr>
          <w:rFonts w:ascii="Times New Roman" w:hAnsi="Times New Roman"/>
          <w:sz w:val="24"/>
          <w:szCs w:val="24"/>
        </w:rPr>
        <w:t>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0055C2">
        <w:rPr>
          <w:rFonts w:ascii="Times New Roman" w:hAnsi="Times New Roman" w:cs="Times New Roman"/>
          <w:sz w:val="24"/>
          <w:szCs w:val="24"/>
        </w:rPr>
        <w:t xml:space="preserve">сроки </w:t>
      </w:r>
      <w:r w:rsidR="000055C2" w:rsidRPr="00971EF1">
        <w:rPr>
          <w:rFonts w:ascii="Times New Roman" w:hAnsi="Times New Roman" w:cs="Times New Roman"/>
          <w:sz w:val="24"/>
          <w:szCs w:val="24"/>
        </w:rPr>
        <w:t>выплаты</w:t>
      </w:r>
      <w:r w:rsidRPr="00971EF1">
        <w:rPr>
          <w:rFonts w:ascii="Times New Roman" w:hAnsi="Times New Roman" w:cs="Times New Roman"/>
          <w:sz w:val="24"/>
          <w:szCs w:val="24"/>
        </w:rPr>
        <w:t xml:space="preserve"> дополнительной оплаты труда</w:t>
      </w:r>
      <w:r w:rsidR="00312F9A">
        <w:rPr>
          <w:rFonts w:ascii="Times New Roman" w:hAnsi="Times New Roman" w:cs="Times New Roman"/>
          <w:sz w:val="24"/>
          <w:szCs w:val="24"/>
        </w:rPr>
        <w:t xml:space="preserve"> по безналичному расчету</w:t>
      </w:r>
      <w:r w:rsidR="000F4E0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12F9A">
        <w:rPr>
          <w:rFonts w:ascii="Times New Roman" w:hAnsi="Times New Roman" w:cs="Times New Roman"/>
          <w:sz w:val="24"/>
          <w:szCs w:val="24"/>
        </w:rPr>
        <w:t xml:space="preserve"> </w:t>
      </w:r>
      <w:r w:rsidRPr="00971EF1">
        <w:rPr>
          <w:rFonts w:ascii="Times New Roman" w:hAnsi="Times New Roman" w:cs="Times New Roman"/>
          <w:sz w:val="24"/>
          <w:szCs w:val="24"/>
        </w:rPr>
        <w:t xml:space="preserve"> членам избирательных </w:t>
      </w:r>
      <w:proofErr w:type="gramStart"/>
      <w:r w:rsidRPr="00971EF1">
        <w:rPr>
          <w:rFonts w:ascii="Times New Roman" w:hAnsi="Times New Roman" w:cs="Times New Roman"/>
          <w:sz w:val="24"/>
          <w:szCs w:val="24"/>
        </w:rPr>
        <w:t>комиссий</w:t>
      </w:r>
      <w:r w:rsidR="00312F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71EF1" w:rsidRDefault="00971EF1" w:rsidP="00971E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Членам территориальной избирательной </w:t>
      </w:r>
      <w:r w:rsidR="00D252B3">
        <w:rPr>
          <w:rFonts w:ascii="Times New Roman" w:hAnsi="Times New Roman" w:cs="Times New Roman"/>
          <w:sz w:val="24"/>
          <w:szCs w:val="24"/>
        </w:rPr>
        <w:t>комиссии до</w:t>
      </w:r>
      <w:r>
        <w:rPr>
          <w:rFonts w:ascii="Times New Roman" w:hAnsi="Times New Roman" w:cs="Times New Roman"/>
          <w:sz w:val="24"/>
          <w:szCs w:val="24"/>
        </w:rPr>
        <w:t xml:space="preserve"> 20 числа 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следующего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за расчетный месяц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— выдача оплаты за </w:t>
      </w:r>
      <w:r w:rsidR="00D252B3">
        <w:rPr>
          <w:rFonts w:ascii="Times New Roman CYR" w:eastAsia="Times New Roman" w:hAnsi="Times New Roman CYR" w:cs="Times New Roman CYR"/>
          <w:sz w:val="24"/>
          <w:szCs w:val="24"/>
        </w:rPr>
        <w:t xml:space="preserve">работу </w:t>
      </w:r>
      <w:r w:rsidR="00D252B3" w:rsidRPr="00971EF1">
        <w:rPr>
          <w:rFonts w:ascii="Times New Roman CYR" w:eastAsia="Times New Roman" w:hAnsi="Times New Roman CYR" w:cs="Times New Roman CYR"/>
          <w:sz w:val="24"/>
          <w:szCs w:val="24"/>
        </w:rPr>
        <w:t>предыдущего</w:t>
      </w:r>
      <w:r w:rsidRPr="00971EF1">
        <w:rPr>
          <w:rFonts w:ascii="Times New Roman CYR" w:eastAsia="Times New Roman" w:hAnsi="Times New Roman CYR" w:cs="Times New Roman CYR"/>
          <w:sz w:val="24"/>
          <w:szCs w:val="24"/>
        </w:rPr>
        <w:t xml:space="preserve"> месяца.</w:t>
      </w:r>
    </w:p>
    <w:p w:rsidR="00971EF1" w:rsidRDefault="00971EF1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71EF1" w:rsidRDefault="00D252B3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t xml:space="preserve">1.2. Членам участковых избирательных комиссий с 1 по 20 октября 2019 </w:t>
      </w:r>
      <w:r w:rsidR="000055C2">
        <w:rPr>
          <w:rFonts w:ascii="Times New Roman CYR" w:eastAsia="Times New Roman" w:hAnsi="Times New Roman CYR" w:cs="Times New Roman CYR"/>
          <w:sz w:val="24"/>
          <w:szCs w:val="24"/>
        </w:rPr>
        <w:t>года.</w:t>
      </w:r>
    </w:p>
    <w:p w:rsidR="00214024" w:rsidRDefault="00214024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214024" w:rsidRPr="00212CD5" w:rsidRDefault="00214024" w:rsidP="002140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2.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212CD5">
        <w:rPr>
          <w:rFonts w:ascii="Times New Roman" w:hAnsi="Times New Roman"/>
          <w:sz w:val="24"/>
          <w:szCs w:val="24"/>
        </w:rPr>
        <w:t xml:space="preserve">становить стоимость работы </w:t>
      </w:r>
      <w:r>
        <w:rPr>
          <w:rFonts w:ascii="Times New Roman" w:hAnsi="Times New Roman"/>
          <w:sz w:val="24"/>
          <w:szCs w:val="24"/>
        </w:rPr>
        <w:t>уборщицы помещений и работника по сборке и разборке оборудования в размере – 1000 (одна тысяча) рублей.</w:t>
      </w:r>
    </w:p>
    <w:p w:rsidR="00214024" w:rsidRPr="00971EF1" w:rsidRDefault="00214024" w:rsidP="00971EF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971EF1" w:rsidRDefault="00971EF1" w:rsidP="00971EF1">
      <w:pPr>
        <w:spacing w:after="0" w:line="240" w:lineRule="auto"/>
        <w:ind w:firstLine="426"/>
        <w:jc w:val="both"/>
      </w:pPr>
    </w:p>
    <w:p w:rsidR="00D252B3" w:rsidRDefault="00D252B3" w:rsidP="00971EF1">
      <w:pPr>
        <w:spacing w:after="0" w:line="240" w:lineRule="auto"/>
        <w:ind w:firstLine="426"/>
        <w:jc w:val="both"/>
      </w:pPr>
    </w:p>
    <w:p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2CD5">
        <w:rPr>
          <w:rFonts w:ascii="Times New Roman" w:hAnsi="Times New Roman" w:cs="Times New Roman"/>
          <w:sz w:val="24"/>
          <w:szCs w:val="24"/>
        </w:rPr>
        <w:t xml:space="preserve">Председатель ТИК                                                              </w:t>
      </w:r>
      <w:proofErr w:type="spellStart"/>
      <w:r w:rsidRPr="00212CD5">
        <w:rPr>
          <w:rFonts w:ascii="Times New Roman" w:hAnsi="Times New Roman" w:cs="Times New Roman"/>
          <w:sz w:val="24"/>
          <w:szCs w:val="24"/>
        </w:rPr>
        <w:t>И.Л.Смык</w:t>
      </w:r>
      <w:proofErr w:type="spellEnd"/>
    </w:p>
    <w:p w:rsidR="00D252B3" w:rsidRPr="00212CD5" w:rsidRDefault="00D252B3" w:rsidP="00D252B3">
      <w:pPr>
        <w:rPr>
          <w:rFonts w:ascii="Times New Roman" w:hAnsi="Times New Roman" w:cs="Times New Roman"/>
          <w:sz w:val="24"/>
          <w:szCs w:val="24"/>
        </w:rPr>
      </w:pPr>
      <w:r w:rsidRPr="00212C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12CD5">
        <w:rPr>
          <w:rFonts w:ascii="Times New Roman" w:hAnsi="Times New Roman" w:cs="Times New Roman"/>
          <w:sz w:val="24"/>
          <w:szCs w:val="24"/>
        </w:rPr>
        <w:t>Секретарь  ТИК</w:t>
      </w:r>
      <w:proofErr w:type="gramEnd"/>
      <w:r w:rsidRPr="00212C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А.В.Журавлева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2B3" w:rsidRDefault="00D252B3" w:rsidP="00971EF1">
      <w:pPr>
        <w:spacing w:after="0" w:line="240" w:lineRule="auto"/>
        <w:ind w:firstLine="426"/>
        <w:jc w:val="both"/>
      </w:pPr>
    </w:p>
    <w:sectPr w:rsidR="00D2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E9"/>
    <w:rsid w:val="000055C2"/>
    <w:rsid w:val="000741E5"/>
    <w:rsid w:val="000F4E0E"/>
    <w:rsid w:val="00206AE9"/>
    <w:rsid w:val="00214024"/>
    <w:rsid w:val="00312F9A"/>
    <w:rsid w:val="00971EF1"/>
    <w:rsid w:val="00D2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F69F"/>
  <w15:chartTrackingRefBased/>
  <w15:docId w15:val="{27986E98-8BFF-4FF2-92BA-384A12C1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40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7</cp:revision>
  <cp:lastPrinted>2019-08-26T12:57:00Z</cp:lastPrinted>
  <dcterms:created xsi:type="dcterms:W3CDTF">2019-08-26T12:29:00Z</dcterms:created>
  <dcterms:modified xsi:type="dcterms:W3CDTF">2019-08-26T13:07:00Z</dcterms:modified>
</cp:coreProperties>
</file>